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Реквизиты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Полное наименование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Общество с ограниченной ответственностью "УрсаСтрой"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Сокращенное наименование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ООО "УрсаСтрой"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Юридический адрес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105118, г. Москва, ул. Буракова, д.14, стр.4, комн.1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Почтовый адрес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105118, г. Москва, ул. Буракова, дю14, стр.4, комн.1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Свидетельство о регистрации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Серия 77 № 017657120 от 18.12.2015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выдано Межрайонной ИФНС России № 46 по г. Москве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ОГРН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5157746174152 от 17.12.2015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7730192837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КПП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772001001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Банк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Точка ПАО Банка «ФК Открытие»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К/С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30101810845250000999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Р/С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40702810208270015451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044525999 в ГУ банка России по ЦФО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Код по ОКПО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52622751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Код по ОКВЭД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45.21, 45.31, 45.32, 45.33, 45.34, 45.41, 45.43, 45.44, 45.45, 51.53, 74.20.15, 74.29.11, 74.29.35 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Код по ОКОГУ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4210014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Код по ОКФС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Код по ОКМТО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45328000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Код по ОКОПФ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12300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Генеральный директор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Урсан Вячеслав Михайлович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